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5D7E8A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5D7E8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D7E8A">
              <w:rPr>
                <w:b/>
                <w:sz w:val="20"/>
                <w:szCs w:val="20"/>
              </w:rPr>
              <w:t>e-mail</w:t>
            </w:r>
            <w:proofErr w:type="spellEnd"/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</w:t>
            </w:r>
            <w:r w:rsidRPr="005D7E8A">
              <w:rPr>
                <w:sz w:val="20"/>
                <w:szCs w:val="20"/>
              </w:rPr>
              <w:lastRenderedPageBreak/>
              <w:t>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lastRenderedPageBreak/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</w:t>
            </w:r>
            <w:r w:rsidR="004526ED" w:rsidRPr="005D7E8A">
              <w:rPr>
                <w:sz w:val="20"/>
                <w:szCs w:val="20"/>
                <w:lang w:eastAsia="ar-SA"/>
              </w:rPr>
              <w:t>ь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эффективност</w:t>
            </w:r>
            <w:r w:rsidR="004526ED" w:rsidRPr="005D7E8A">
              <w:rPr>
                <w:sz w:val="20"/>
                <w:szCs w:val="20"/>
                <w:lang w:eastAsia="ar-SA"/>
              </w:rPr>
              <w:t>ь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06E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Pr="00106EC3">
              <w:rPr>
                <w:sz w:val="20"/>
                <w:szCs w:val="20"/>
              </w:rPr>
              <w:t>Методы научных исследований</w:t>
            </w:r>
            <w:r w:rsidRPr="00106EC3">
              <w:rPr>
                <w:sz w:val="20"/>
                <w:szCs w:val="20"/>
              </w:rPr>
              <w:t>», «</w:t>
            </w:r>
            <w:r w:rsidRPr="00106EC3">
              <w:rPr>
                <w:sz w:val="20"/>
                <w:szCs w:val="20"/>
              </w:rPr>
              <w:t>Академическое письмо</w:t>
            </w:r>
            <w:r w:rsidRPr="00106EC3">
              <w:rPr>
                <w:sz w:val="20"/>
                <w:szCs w:val="20"/>
              </w:rPr>
              <w:t>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</w:t>
            </w:r>
            <w:r w:rsidR="00106EC3" w:rsidRPr="00106EC3">
              <w:rPr>
                <w:sz w:val="20"/>
                <w:szCs w:val="20"/>
              </w:rPr>
              <w:t>Исследовательская</w:t>
            </w:r>
            <w:r w:rsidR="00106EC3" w:rsidRPr="00106EC3"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2E95820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2" w:name="_Hlk188191813"/>
            <w:bookmarkStart w:id="3" w:name="_Hlk188191904"/>
            <w:r w:rsidR="00C15808" w:rsidRPr="00427B1C">
              <w:rPr>
                <w:sz w:val="20"/>
                <w:szCs w:val="20"/>
              </w:rPr>
              <w:t xml:space="preserve">Редактирование генома. </w:t>
            </w:r>
            <w:r w:rsidR="00C15808" w:rsidRPr="00427B1C">
              <w:rPr>
                <w:sz w:val="20"/>
                <w:szCs w:val="20"/>
              </w:rPr>
              <w:t>Цели и задачи технологии редактирования генома</w:t>
            </w:r>
            <w:bookmarkEnd w:id="3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генома. 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23B0838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>Индуцированный мутагенез под действием физических и химических факторов.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4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5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6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427B1C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427B1C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427B1C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427B1C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427B1C">
              <w:rPr>
                <w:color w:val="000000" w:themeColor="text1"/>
                <w:sz w:val="20"/>
                <w:szCs w:val="20"/>
              </w:rPr>
              <w:t>утагенез</w:t>
            </w:r>
            <w:r w:rsidR="009B3B0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223005"/>
            <w:r w:rsidR="00E50012" w:rsidRPr="00427B1C">
              <w:rPr>
                <w:sz w:val="20"/>
                <w:szCs w:val="20"/>
              </w:rPr>
              <w:t xml:space="preserve">Редактирование геномов с помощью химерных </w:t>
            </w:r>
            <w:proofErr w:type="spellStart"/>
            <w:r w:rsidR="00E50012" w:rsidRPr="00427B1C">
              <w:rPr>
                <w:sz w:val="20"/>
                <w:szCs w:val="20"/>
              </w:rPr>
              <w:t>олигонуклеотидов</w:t>
            </w:r>
            <w:proofErr w:type="spellEnd"/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9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</w:t>
            </w:r>
            <w:proofErr w:type="spellStart"/>
            <w:r w:rsidR="00A80101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 xml:space="preserve">Сравнение методов редактирования геномов с помощью олиго- и </w:t>
            </w:r>
            <w:proofErr w:type="spellStart"/>
            <w:r w:rsidR="00C24DC8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C24DC8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0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0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C24DC8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П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рименени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искусственных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молекулярных ножниц ARCUT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C24DC8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24DC8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Принцип технологии редактирования генома CRISPR</w:t>
            </w:r>
            <w:r w:rsidR="009174EC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CRISPR/Cas технологии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>/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C24DC8">
              <w:rPr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C24DC8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C24DC8">
              <w:rPr>
                <w:sz w:val="20"/>
                <w:szCs w:val="20"/>
              </w:rPr>
              <w:t xml:space="preserve">Решения New England </w:t>
            </w:r>
            <w:proofErr w:type="spellStart"/>
            <w:r w:rsidR="009D0A9D" w:rsidRPr="00C24DC8">
              <w:rPr>
                <w:sz w:val="20"/>
                <w:szCs w:val="20"/>
              </w:rPr>
              <w:t>Biolabs</w:t>
            </w:r>
            <w:proofErr w:type="spellEnd"/>
            <w:r w:rsidR="009D0A9D" w:rsidRPr="00C24DC8">
              <w:rPr>
                <w:sz w:val="20"/>
                <w:szCs w:val="20"/>
              </w:rPr>
              <w:t xml:space="preserve"> для подготовки различных форм компонентов системы CRISPR/</w:t>
            </w:r>
            <w:proofErr w:type="spellStart"/>
            <w:r w:rsidR="009D0A9D" w:rsidRPr="00C24DC8">
              <w:rPr>
                <w:sz w:val="20"/>
                <w:szCs w:val="20"/>
              </w:rPr>
              <w:t>Cas</w:t>
            </w:r>
            <w:proofErr w:type="spellEnd"/>
            <w:r w:rsidR="009D0A9D" w:rsidRPr="00C24DC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C24DC8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r w:rsidR="005241E6" w:rsidRPr="00C24DC8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C24DC8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C24DC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C24DC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</w:t>
            </w:r>
            <w:proofErr w:type="spellStart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 xml:space="preserve"> в живые системы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C24DC8">
              <w:t xml:space="preserve"> 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1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1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сследовани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я по редактированию генома растений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CRISPR/</w:t>
            </w:r>
            <w:proofErr w:type="spellStart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одификаци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генома растений с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использова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нием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CRISPR/Cas нокаута генов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одификации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с использованием нокаута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генов для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улучшения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устойчивости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и урожайности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2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2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3" w:name="_Hlk188235131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13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2576CD4C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еспективы п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болеваний человека.  </w:t>
            </w:r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1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14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="00151F05" w:rsidRPr="00151F05">
        <w:rPr>
          <w:b/>
          <w:sz w:val="20"/>
          <w:szCs w:val="20"/>
        </w:rPr>
        <w:t>_</w:t>
      </w:r>
      <w:proofErr w:type="gramEnd"/>
      <w:r w:rsidR="00151F05" w:rsidRPr="00151F05">
        <w:rPr>
          <w:b/>
          <w:sz w:val="20"/>
          <w:szCs w:val="20"/>
        </w:rPr>
        <w:t xml:space="preserve">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="00ED6C3E" w:rsidRPr="00ED6C3E">
        <w:rPr>
          <w:b/>
          <w:bCs/>
          <w:sz w:val="20"/>
          <w:szCs w:val="20"/>
        </w:rPr>
        <w:t>_</w:t>
      </w:r>
      <w:proofErr w:type="gramEnd"/>
      <w:r w:rsidR="00ED6C3E" w:rsidRPr="00ED6C3E">
        <w:rPr>
          <w:b/>
          <w:bCs/>
          <w:sz w:val="20"/>
          <w:szCs w:val="20"/>
        </w:rPr>
        <w:t xml:space="preserve">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7861" w14:textId="77777777" w:rsidR="006231E1" w:rsidRDefault="006231E1" w:rsidP="004C6A23">
      <w:r>
        <w:separator/>
      </w:r>
    </w:p>
  </w:endnote>
  <w:endnote w:type="continuationSeparator" w:id="0">
    <w:p w14:paraId="4B75CF16" w14:textId="77777777" w:rsidR="006231E1" w:rsidRDefault="006231E1" w:rsidP="004C6A23">
      <w:r>
        <w:continuationSeparator/>
      </w:r>
    </w:p>
  </w:endnote>
  <w:endnote w:type="continuationNotice" w:id="1">
    <w:p w14:paraId="7E53C6A3" w14:textId="77777777" w:rsidR="006231E1" w:rsidRDefault="00623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EF41" w14:textId="77777777" w:rsidR="006231E1" w:rsidRDefault="006231E1" w:rsidP="004C6A23">
      <w:r>
        <w:separator/>
      </w:r>
    </w:p>
  </w:footnote>
  <w:footnote w:type="continuationSeparator" w:id="0">
    <w:p w14:paraId="3DDA06A0" w14:textId="77777777" w:rsidR="006231E1" w:rsidRDefault="006231E1" w:rsidP="004C6A23">
      <w:r>
        <w:continuationSeparator/>
      </w:r>
    </w:p>
  </w:footnote>
  <w:footnote w:type="continuationNotice" w:id="1">
    <w:p w14:paraId="6F3C3581" w14:textId="77777777" w:rsidR="006231E1" w:rsidRDefault="00623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BD0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15</cp:revision>
  <cp:lastPrinted>2024-09-25T13:38:00Z</cp:lastPrinted>
  <dcterms:created xsi:type="dcterms:W3CDTF">2025-01-18T22:40:00Z</dcterms:created>
  <dcterms:modified xsi:type="dcterms:W3CDTF">2025-01-23T19:50:00Z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